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</w:pP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  <w:t>2021年度河南省高等学校重点科研项目</w:t>
      </w:r>
    </w:p>
    <w:p w:rsid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</w:pPr>
      <w:r w:rsidRPr="003964AF"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  <w:t>软科学研究计划项目指南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 w:hAnsi="微软雅黑" w:hint="eastAsia"/>
          <w:color w:val="333333"/>
          <w:sz w:val="30"/>
          <w:szCs w:val="30"/>
        </w:rPr>
      </w:pP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重点围绕以下专题开展立项，具体项目名称可自行拟定：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  <w:t>专题一、河南经济社会高质量发展对策研究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主要选题方向: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1.新时代加强和创新河南省社会治理问题研究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2.科技创新支撑黄河流域生态保护和高质量发展问题研究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3.乡村振兴战略助力脱贫攻坚问题研究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4.加快推进产业结构调整和转型升级问题研究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5.重大公共卫生应急体系构建与对策研究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6.河南省数字经济产业发展的相关问题与对策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7.河南省制造业高质量发展的相关问题与对策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8.河南省服务业高质量发展的相关问题与对策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9.河南创新体系建设的相关问题与对策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10.河南高层次人才队伍建设的相关问题与对策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  <w:t>专题二、河南省教育现代化发展对策研究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主要选题方向：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1.《河南教育现代化2035》评价指标体系研究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2.新形势下科教融合协同育人途径和对策研究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3.河南省高校专业调整优化布局研究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lastRenderedPageBreak/>
        <w:t>4.信息化助力教育治理能力与治理体系建设研究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5.在线教育绩效评估模型研究与实践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9.教育系统网络安全综合评价体系研究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7.教育大数据资产管理与数据安全管理策略研究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8.教师信息化素养培育体系构建研究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9.网络用户行为分析与舆情监控研究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10.河南省智慧校园绩效考核评价体系研究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Style w:val="a6"/>
          <w:rFonts w:ascii="仿宋_GB2312" w:eastAsia="仿宋_GB2312" w:hAnsi="微软雅黑" w:hint="eastAsia"/>
          <w:bCs w:val="0"/>
          <w:color w:val="333333"/>
          <w:sz w:val="30"/>
          <w:szCs w:val="30"/>
        </w:rPr>
        <w:t>专题三、河南省高校科技创新能力提升对策研究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主要选题方向：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1.河南省高校分类发展下的科技创新工作研究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2.新时期河南省高校科技评价体系研究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3.河南高校科技创新政策打通最后一公里的对策研究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4.河南省高校科技成果转移转化模式创新研究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5.河南省高校科技人才队伍建设对策和建议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6.河南省高校创新创业基地（载体）建设与发展研究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7.河南省协同创新中心绩效考核评价体系研究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8.河南省高校科研设施与仪器共享服务平台模式研究</w:t>
      </w:r>
    </w:p>
    <w:p w:rsidR="003964AF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9.河南省高校加强科学教育推动科学普及问题研究</w:t>
      </w:r>
    </w:p>
    <w:p w:rsidR="0088706C" w:rsidRPr="003964AF" w:rsidRDefault="003964AF" w:rsidP="003964AF">
      <w:pPr>
        <w:pStyle w:val="a5"/>
        <w:shd w:val="clear" w:color="auto" w:fill="FFFFFF"/>
        <w:spacing w:before="0" w:beforeAutospacing="0" w:after="0" w:afterAutospacing="0" w:line="540" w:lineRule="atLeast"/>
        <w:rPr>
          <w:rFonts w:ascii="仿宋_GB2312" w:eastAsia="仿宋_GB2312" w:hAnsi="微软雅黑" w:hint="eastAsia"/>
          <w:color w:val="333333"/>
          <w:sz w:val="30"/>
          <w:szCs w:val="30"/>
        </w:rPr>
      </w:pPr>
      <w:r w:rsidRPr="003964AF">
        <w:rPr>
          <w:rFonts w:ascii="仿宋_GB2312" w:eastAsia="仿宋_GB2312" w:hAnsi="微软雅黑" w:hint="eastAsia"/>
          <w:color w:val="333333"/>
          <w:sz w:val="30"/>
          <w:szCs w:val="30"/>
        </w:rPr>
        <w:t>10.河南省高校创新文化和学风作风建设问题研究</w:t>
      </w:r>
    </w:p>
    <w:sectPr w:rsidR="0088706C" w:rsidRPr="0039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6C" w:rsidRDefault="0088706C" w:rsidP="003964AF">
      <w:r>
        <w:separator/>
      </w:r>
    </w:p>
  </w:endnote>
  <w:endnote w:type="continuationSeparator" w:id="1">
    <w:p w:rsidR="0088706C" w:rsidRDefault="0088706C" w:rsidP="0039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6C" w:rsidRDefault="0088706C" w:rsidP="003964AF">
      <w:r>
        <w:separator/>
      </w:r>
    </w:p>
  </w:footnote>
  <w:footnote w:type="continuationSeparator" w:id="1">
    <w:p w:rsidR="0088706C" w:rsidRDefault="0088706C" w:rsidP="00396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4AF"/>
    <w:rsid w:val="003964AF"/>
    <w:rsid w:val="0088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4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6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6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sq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董天宇</dc:creator>
  <cp:keywords/>
  <dc:description/>
  <cp:lastModifiedBy>董天宇</cp:lastModifiedBy>
  <cp:revision>2</cp:revision>
  <dcterms:created xsi:type="dcterms:W3CDTF">2020-05-19T02:05:00Z</dcterms:created>
  <dcterms:modified xsi:type="dcterms:W3CDTF">2020-05-19T02:06:00Z</dcterms:modified>
</cp:coreProperties>
</file>