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ED" w:rsidRDefault="008E6CED" w:rsidP="008E6CED">
      <w:pPr>
        <w:autoSpaceDE w:val="0"/>
        <w:autoSpaceDN w:val="0"/>
        <w:adjustRightInd w:val="0"/>
        <w:rPr>
          <w:rFonts w:ascii="黑体" w:eastAsia="黑体" w:hAnsi="Times New Roman" w:cs="黑体"/>
          <w:sz w:val="30"/>
          <w:szCs w:val="30"/>
          <w:lang w:val="zh-CN"/>
        </w:rPr>
      </w:pPr>
      <w:r>
        <w:rPr>
          <w:rFonts w:ascii="黑体" w:eastAsia="黑体" w:hAnsi="Times New Roman" w:cs="黑体" w:hint="eastAsia"/>
          <w:sz w:val="30"/>
          <w:szCs w:val="30"/>
          <w:lang w:val="zh-CN"/>
        </w:rPr>
        <w:t>附件</w:t>
      </w:r>
      <w:r>
        <w:rPr>
          <w:rFonts w:ascii="黑体" w:eastAsia="黑体" w:hAnsi="Times New Roman" w:cs="黑体"/>
          <w:sz w:val="30"/>
          <w:szCs w:val="30"/>
          <w:lang w:val="zh-CN"/>
        </w:rPr>
        <w:t>1</w:t>
      </w:r>
    </w:p>
    <w:p w:rsidR="008E6CED" w:rsidRDefault="008E6CED" w:rsidP="008E6CED">
      <w:pPr>
        <w:autoSpaceDE w:val="0"/>
        <w:autoSpaceDN w:val="0"/>
        <w:adjustRightInd w:val="0"/>
        <w:rPr>
          <w:rFonts w:ascii="仿宋_GB2312" w:eastAsia="仿宋_GB2312" w:hAnsi="Times New Roman" w:cs="仿宋_GB2312"/>
          <w:sz w:val="30"/>
          <w:szCs w:val="30"/>
          <w:lang w:val="zh-CN"/>
        </w:rPr>
      </w:pPr>
    </w:p>
    <w:p w:rsidR="008E6CED" w:rsidRDefault="008E6CED" w:rsidP="008E6CED">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sz w:val="44"/>
          <w:szCs w:val="44"/>
          <w:lang w:val="zh-CN"/>
        </w:rPr>
        <w:t>2016</w:t>
      </w:r>
      <w:r>
        <w:rPr>
          <w:rFonts w:ascii="方正小标宋简体" w:eastAsia="方正小标宋简体" w:hAnsi="Times New Roman" w:cs="方正小标宋简体" w:hint="eastAsia"/>
          <w:sz w:val="44"/>
          <w:szCs w:val="44"/>
          <w:lang w:val="zh-CN"/>
        </w:rPr>
        <w:t>年度专项调研课题（综治工作</w:t>
      </w:r>
    </w:p>
    <w:p w:rsidR="008E6CED" w:rsidRDefault="008E6CED" w:rsidP="008E6CED">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研究）指南</w:t>
      </w:r>
    </w:p>
    <w:p w:rsidR="008E6CED" w:rsidRDefault="008E6CED" w:rsidP="008E6CED">
      <w:pPr>
        <w:autoSpaceDE w:val="0"/>
        <w:autoSpaceDN w:val="0"/>
        <w:adjustRightInd w:val="0"/>
        <w:rPr>
          <w:rFonts w:ascii="仿宋_GB2312" w:eastAsia="仿宋_GB2312" w:hAnsi="Times New Roman" w:cs="仿宋_GB2312"/>
          <w:sz w:val="30"/>
          <w:szCs w:val="30"/>
          <w:lang w:val="zh-CN"/>
        </w:rPr>
      </w:pPr>
    </w:p>
    <w:p w:rsidR="008E6CED" w:rsidRDefault="008E6CED" w:rsidP="008E6CED">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    1</w:t>
      </w:r>
      <w:r>
        <w:rPr>
          <w:rFonts w:ascii="仿宋_GB2312" w:eastAsia="仿宋_GB2312" w:hAnsi="Times New Roman" w:cs="仿宋_GB2312" w:hint="eastAsia"/>
          <w:sz w:val="30"/>
          <w:szCs w:val="30"/>
          <w:lang w:val="zh-CN"/>
        </w:rPr>
        <w:t>、完善社会治安综合治理体制机制问题研究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、平安河南建设在出彩中原中的地位和作用研究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、社会治理语境中政府治理的转型</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r>
        <w:rPr>
          <w:rFonts w:ascii="仿宋_GB2312" w:eastAsia="仿宋_GB2312" w:hAnsi="Times New Roman" w:cs="仿宋_GB2312" w:hint="eastAsia"/>
          <w:sz w:val="30"/>
          <w:szCs w:val="30"/>
          <w:lang w:val="zh-CN"/>
        </w:rPr>
        <w:t>、地方社会治理评价指标体系构建</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5</w:t>
      </w:r>
      <w:r>
        <w:rPr>
          <w:rFonts w:ascii="仿宋_GB2312" w:eastAsia="仿宋_GB2312" w:hAnsi="Times New Roman" w:cs="仿宋_GB2312" w:hint="eastAsia"/>
          <w:sz w:val="30"/>
          <w:szCs w:val="30"/>
          <w:lang w:val="zh-CN"/>
        </w:rPr>
        <w:t>、社会治安综合治理格局构建中的社会动员机制浅析</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6</w:t>
      </w:r>
      <w:r>
        <w:rPr>
          <w:rFonts w:ascii="仿宋_GB2312" w:eastAsia="仿宋_GB2312" w:hAnsi="Times New Roman" w:cs="仿宋_GB2312" w:hint="eastAsia"/>
          <w:sz w:val="30"/>
          <w:szCs w:val="30"/>
          <w:lang w:val="zh-CN"/>
        </w:rPr>
        <w:t>、平安建设中的政府购买服务研究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7</w:t>
      </w:r>
      <w:r>
        <w:rPr>
          <w:rFonts w:ascii="仿宋_GB2312" w:eastAsia="仿宋_GB2312" w:hAnsi="Times New Roman" w:cs="仿宋_GB2312" w:hint="eastAsia"/>
          <w:sz w:val="30"/>
          <w:szCs w:val="30"/>
          <w:lang w:val="zh-CN"/>
        </w:rPr>
        <w:t>、基层社会冲突网络扩散与治理研究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8</w:t>
      </w:r>
      <w:r>
        <w:rPr>
          <w:rFonts w:ascii="仿宋_GB2312" w:eastAsia="仿宋_GB2312" w:hAnsi="Times New Roman" w:cs="仿宋_GB2312" w:hint="eastAsia"/>
          <w:sz w:val="30"/>
          <w:szCs w:val="30"/>
          <w:lang w:val="zh-CN"/>
        </w:rPr>
        <w:t>、社会治理视野下在社会治安防控中贯彻群众路线的对策研究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9</w:t>
      </w:r>
      <w:r>
        <w:rPr>
          <w:rFonts w:ascii="仿宋_GB2312" w:eastAsia="仿宋_GB2312" w:hAnsi="Times New Roman" w:cs="仿宋_GB2312" w:hint="eastAsia"/>
          <w:sz w:val="30"/>
          <w:szCs w:val="30"/>
          <w:lang w:val="zh-CN"/>
        </w:rPr>
        <w:t>、政法文化建设研究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10</w:t>
      </w:r>
      <w:r>
        <w:rPr>
          <w:rFonts w:ascii="仿宋_GB2312" w:eastAsia="仿宋_GB2312" w:hAnsi="Times New Roman" w:cs="仿宋_GB2312" w:hint="eastAsia"/>
          <w:sz w:val="30"/>
          <w:szCs w:val="30"/>
          <w:lang w:val="zh-CN"/>
        </w:rPr>
        <w:t>、社会治理视角下新兴媒体作用的发挥</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11</w:t>
      </w:r>
      <w:r>
        <w:rPr>
          <w:rFonts w:ascii="仿宋_GB2312" w:eastAsia="仿宋_GB2312" w:hAnsi="Times New Roman" w:cs="仿宋_GB2312" w:hint="eastAsia"/>
          <w:sz w:val="30"/>
          <w:szCs w:val="30"/>
          <w:lang w:val="zh-CN"/>
        </w:rPr>
        <w:t>、如何动员社会力量参与社会治安防控工作</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12</w:t>
      </w:r>
      <w:r>
        <w:rPr>
          <w:rFonts w:ascii="仿宋_GB2312" w:eastAsia="仿宋_GB2312" w:hAnsi="Times New Roman" w:cs="仿宋_GB2312" w:hint="eastAsia"/>
          <w:sz w:val="30"/>
          <w:szCs w:val="30"/>
          <w:lang w:val="zh-CN"/>
        </w:rPr>
        <w:t>、河南社会治安防控体系建设与群众安全感内在机理互动研究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13</w:t>
      </w:r>
      <w:r>
        <w:rPr>
          <w:rFonts w:ascii="仿宋_GB2312" w:eastAsia="仿宋_GB2312" w:hAnsi="Times New Roman" w:cs="仿宋_GB2312" w:hint="eastAsia"/>
          <w:sz w:val="30"/>
          <w:szCs w:val="30"/>
          <w:lang w:val="zh-CN"/>
        </w:rPr>
        <w:t>、公共安全视频监控在立体化治安防控体系中的综合应用机制研究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lastRenderedPageBreak/>
        <w:t>14</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三无小区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问题治理研究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15</w:t>
      </w:r>
      <w:r>
        <w:rPr>
          <w:rFonts w:ascii="仿宋_GB2312" w:eastAsia="仿宋_GB2312" w:hAnsi="Times New Roman" w:cs="仿宋_GB2312" w:hint="eastAsia"/>
          <w:sz w:val="30"/>
          <w:szCs w:val="30"/>
          <w:lang w:val="zh-CN"/>
        </w:rPr>
        <w:t>、高校校园及周边环境综合治理工作法治问题研究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16</w:t>
      </w:r>
      <w:r>
        <w:rPr>
          <w:rFonts w:ascii="仿宋_GB2312" w:eastAsia="仿宋_GB2312" w:hAnsi="Times New Roman" w:cs="仿宋_GB2312" w:hint="eastAsia"/>
          <w:sz w:val="30"/>
          <w:szCs w:val="30"/>
          <w:lang w:val="zh-CN"/>
        </w:rPr>
        <w:t>、高校安全稳定综合防控体系建设研究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17</w:t>
      </w:r>
      <w:r>
        <w:rPr>
          <w:rFonts w:ascii="仿宋_GB2312" w:eastAsia="仿宋_GB2312" w:hAnsi="Times New Roman" w:cs="仿宋_GB2312" w:hint="eastAsia"/>
          <w:sz w:val="30"/>
          <w:szCs w:val="30"/>
          <w:lang w:val="zh-CN"/>
        </w:rPr>
        <w:t>、高校安全宣传教育培训体系建构研究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18</w:t>
      </w:r>
      <w:r>
        <w:rPr>
          <w:rFonts w:ascii="仿宋_GB2312" w:eastAsia="仿宋_GB2312" w:hAnsi="Times New Roman" w:cs="仿宋_GB2312" w:hint="eastAsia"/>
          <w:sz w:val="30"/>
          <w:szCs w:val="30"/>
          <w:lang w:val="zh-CN"/>
        </w:rPr>
        <w:t>、平安高校综合治理长效机制研究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19</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一带一路</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战略背景下的河南城市反暴恐重点目标安全防范问题研究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20</w:t>
      </w:r>
      <w:r>
        <w:rPr>
          <w:rFonts w:ascii="仿宋_GB2312" w:eastAsia="仿宋_GB2312" w:hAnsi="Times New Roman" w:cs="仿宋_GB2312" w:hint="eastAsia"/>
          <w:sz w:val="30"/>
          <w:szCs w:val="30"/>
          <w:lang w:val="zh-CN"/>
        </w:rPr>
        <w:t>、公安机关信息合成作战指挥新模式研究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21</w:t>
      </w:r>
      <w:r>
        <w:rPr>
          <w:rFonts w:ascii="仿宋_GB2312" w:eastAsia="仿宋_GB2312" w:hAnsi="Times New Roman" w:cs="仿宋_GB2312" w:hint="eastAsia"/>
          <w:sz w:val="30"/>
          <w:szCs w:val="30"/>
          <w:lang w:val="zh-CN"/>
        </w:rPr>
        <w:t>、组织学视角下基层民警执法权威的弱化及其重塑</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22</w:t>
      </w:r>
      <w:r>
        <w:rPr>
          <w:rFonts w:ascii="仿宋_GB2312" w:eastAsia="仿宋_GB2312" w:hAnsi="Times New Roman" w:cs="仿宋_GB2312" w:hint="eastAsia"/>
          <w:sz w:val="30"/>
          <w:szCs w:val="30"/>
          <w:lang w:val="zh-CN"/>
        </w:rPr>
        <w:t>、河南省驻村警务机制建设研究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23</w:t>
      </w:r>
      <w:r>
        <w:rPr>
          <w:rFonts w:ascii="仿宋_GB2312" w:eastAsia="仿宋_GB2312" w:hAnsi="Times New Roman" w:cs="仿宋_GB2312" w:hint="eastAsia"/>
          <w:sz w:val="30"/>
          <w:szCs w:val="30"/>
          <w:lang w:val="zh-CN"/>
        </w:rPr>
        <w:t>、关于平安河南建设中公安机关规范执法的探索</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24</w:t>
      </w:r>
      <w:r>
        <w:rPr>
          <w:rFonts w:ascii="仿宋_GB2312" w:eastAsia="仿宋_GB2312" w:hAnsi="Times New Roman" w:cs="仿宋_GB2312" w:hint="eastAsia"/>
          <w:sz w:val="30"/>
          <w:szCs w:val="30"/>
          <w:lang w:val="zh-CN"/>
        </w:rPr>
        <w:t>、新形势下河南省反恐维稳问题及对策研究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25</w:t>
      </w:r>
      <w:r>
        <w:rPr>
          <w:rFonts w:ascii="仿宋_GB2312" w:eastAsia="仿宋_GB2312" w:hAnsi="Times New Roman" w:cs="仿宋_GB2312" w:hint="eastAsia"/>
          <w:sz w:val="30"/>
          <w:szCs w:val="30"/>
          <w:lang w:val="zh-CN"/>
        </w:rPr>
        <w:t>、防控非法集资的协调推动和法律运用研究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26</w:t>
      </w:r>
      <w:r>
        <w:rPr>
          <w:rFonts w:ascii="仿宋_GB2312" w:eastAsia="仿宋_GB2312" w:hAnsi="Times New Roman" w:cs="仿宋_GB2312" w:hint="eastAsia"/>
          <w:sz w:val="30"/>
          <w:szCs w:val="30"/>
          <w:lang w:val="zh-CN"/>
        </w:rPr>
        <w:t>、发挥网络与技术优势服务平安监控建设研究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27</w:t>
      </w:r>
      <w:r>
        <w:rPr>
          <w:rFonts w:ascii="仿宋_GB2312" w:eastAsia="仿宋_GB2312" w:hAnsi="Times New Roman" w:cs="仿宋_GB2312" w:hint="eastAsia"/>
          <w:sz w:val="30"/>
          <w:szCs w:val="30"/>
          <w:lang w:val="zh-CN"/>
        </w:rPr>
        <w:t>、无照经营的危害及治理对策研究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28</w:t>
      </w:r>
      <w:r>
        <w:rPr>
          <w:rFonts w:ascii="仿宋_GB2312" w:eastAsia="仿宋_GB2312" w:hAnsi="Times New Roman" w:cs="仿宋_GB2312" w:hint="eastAsia"/>
          <w:sz w:val="30"/>
          <w:szCs w:val="30"/>
          <w:lang w:val="zh-CN"/>
        </w:rPr>
        <w:t>、食品药品安全建设研究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29</w:t>
      </w:r>
      <w:r>
        <w:rPr>
          <w:rFonts w:ascii="仿宋_GB2312" w:eastAsia="仿宋_GB2312" w:hAnsi="Times New Roman" w:cs="仿宋_GB2312" w:hint="eastAsia"/>
          <w:sz w:val="30"/>
          <w:szCs w:val="30"/>
          <w:lang w:val="zh-CN"/>
        </w:rPr>
        <w:t>、河南省扶贫开发进程中农村公路安全生命防护工程实施路径与策略研究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30</w:t>
      </w:r>
      <w:r>
        <w:rPr>
          <w:rFonts w:ascii="仿宋_GB2312" w:eastAsia="仿宋_GB2312" w:hAnsi="Times New Roman" w:cs="仿宋_GB2312" w:hint="eastAsia"/>
          <w:sz w:val="30"/>
          <w:szCs w:val="30"/>
          <w:lang w:val="zh-CN"/>
        </w:rPr>
        <w:t>、河南省水上交通运输安全监管研究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31</w:t>
      </w:r>
      <w:r>
        <w:rPr>
          <w:rFonts w:ascii="仿宋_GB2312" w:eastAsia="仿宋_GB2312" w:hAnsi="Times New Roman" w:cs="仿宋_GB2312" w:hint="eastAsia"/>
          <w:sz w:val="30"/>
          <w:szCs w:val="30"/>
          <w:lang w:val="zh-CN"/>
        </w:rPr>
        <w:t>、县城停车难问题研究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32</w:t>
      </w:r>
      <w:r>
        <w:rPr>
          <w:rFonts w:ascii="仿宋_GB2312" w:eastAsia="仿宋_GB2312" w:hAnsi="Times New Roman" w:cs="仿宋_GB2312" w:hint="eastAsia"/>
          <w:sz w:val="30"/>
          <w:szCs w:val="30"/>
          <w:lang w:val="zh-CN"/>
        </w:rPr>
        <w:t>、矛盾纠纷排查化解信息系统和信息系统数据库建设研究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33</w:t>
      </w:r>
      <w:r>
        <w:rPr>
          <w:rFonts w:ascii="仿宋_GB2312" w:eastAsia="仿宋_GB2312" w:hAnsi="Times New Roman" w:cs="仿宋_GB2312" w:hint="eastAsia"/>
          <w:sz w:val="30"/>
          <w:szCs w:val="30"/>
          <w:lang w:val="zh-CN"/>
        </w:rPr>
        <w:t>、社会矛盾纠纷多元化解机制建设及绩效评估体系研究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lastRenderedPageBreak/>
        <w:t>34</w:t>
      </w:r>
      <w:r>
        <w:rPr>
          <w:rFonts w:ascii="仿宋_GB2312" w:eastAsia="仿宋_GB2312" w:hAnsi="Times New Roman" w:cs="仿宋_GB2312" w:hint="eastAsia"/>
          <w:sz w:val="30"/>
          <w:szCs w:val="30"/>
          <w:lang w:val="zh-CN"/>
        </w:rPr>
        <w:t>、依法治理矛盾纠纷研究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35</w:t>
      </w:r>
      <w:r>
        <w:rPr>
          <w:rFonts w:ascii="仿宋_GB2312" w:eastAsia="仿宋_GB2312" w:hAnsi="Times New Roman" w:cs="仿宋_GB2312" w:hint="eastAsia"/>
          <w:sz w:val="30"/>
          <w:szCs w:val="30"/>
          <w:lang w:val="zh-CN"/>
        </w:rPr>
        <w:t>、依法治理医患纠纷问题研究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36</w:t>
      </w:r>
      <w:r>
        <w:rPr>
          <w:rFonts w:ascii="仿宋_GB2312" w:eastAsia="仿宋_GB2312" w:hAnsi="Times New Roman" w:cs="仿宋_GB2312" w:hint="eastAsia"/>
          <w:sz w:val="30"/>
          <w:szCs w:val="30"/>
          <w:lang w:val="zh-CN"/>
        </w:rPr>
        <w:t>、社会矛盾纠纷预防化解常态化研究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37</w:t>
      </w:r>
      <w:r>
        <w:rPr>
          <w:rFonts w:ascii="仿宋_GB2312" w:eastAsia="仿宋_GB2312" w:hAnsi="Times New Roman" w:cs="仿宋_GB2312" w:hint="eastAsia"/>
          <w:sz w:val="30"/>
          <w:szCs w:val="30"/>
          <w:lang w:val="zh-CN"/>
        </w:rPr>
        <w:t>、群体性政策利益诉求问题研究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38</w:t>
      </w:r>
      <w:r>
        <w:rPr>
          <w:rFonts w:ascii="仿宋_GB2312" w:eastAsia="仿宋_GB2312" w:hAnsi="Times New Roman" w:cs="仿宋_GB2312" w:hint="eastAsia"/>
          <w:sz w:val="30"/>
          <w:szCs w:val="30"/>
          <w:lang w:val="zh-CN"/>
        </w:rPr>
        <w:t>、新形势下农村综治工作研究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39</w:t>
      </w:r>
      <w:r>
        <w:rPr>
          <w:rFonts w:ascii="仿宋_GB2312" w:eastAsia="仿宋_GB2312" w:hAnsi="Times New Roman" w:cs="仿宋_GB2312" w:hint="eastAsia"/>
          <w:sz w:val="30"/>
          <w:szCs w:val="30"/>
          <w:lang w:val="zh-CN"/>
        </w:rPr>
        <w:t>、乡、村两级综治工作中心规范化建设研究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40</w:t>
      </w:r>
      <w:r>
        <w:rPr>
          <w:rFonts w:ascii="仿宋_GB2312" w:eastAsia="仿宋_GB2312" w:hAnsi="Times New Roman" w:cs="仿宋_GB2312" w:hint="eastAsia"/>
          <w:sz w:val="30"/>
          <w:szCs w:val="30"/>
          <w:lang w:val="zh-CN"/>
        </w:rPr>
        <w:t>、县级综治辅助力量建设研究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41</w:t>
      </w:r>
      <w:r>
        <w:rPr>
          <w:rFonts w:ascii="仿宋_GB2312" w:eastAsia="仿宋_GB2312" w:hAnsi="Times New Roman" w:cs="仿宋_GB2312" w:hint="eastAsia"/>
          <w:sz w:val="30"/>
          <w:szCs w:val="30"/>
          <w:lang w:val="zh-CN"/>
        </w:rPr>
        <w:t>、社会治理视野下社区网格化服务管理研究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42</w:t>
      </w:r>
      <w:r>
        <w:rPr>
          <w:rFonts w:ascii="仿宋_GB2312" w:eastAsia="仿宋_GB2312" w:hAnsi="Times New Roman" w:cs="仿宋_GB2312" w:hint="eastAsia"/>
          <w:sz w:val="30"/>
          <w:szCs w:val="30"/>
          <w:lang w:val="zh-CN"/>
        </w:rPr>
        <w:t>、农村外出务工人员和</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三留守</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人员服务管理实证研究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43</w:t>
      </w:r>
      <w:r>
        <w:rPr>
          <w:rFonts w:ascii="仿宋_GB2312" w:eastAsia="仿宋_GB2312" w:hAnsi="Times New Roman" w:cs="仿宋_GB2312" w:hint="eastAsia"/>
          <w:sz w:val="30"/>
          <w:szCs w:val="30"/>
          <w:lang w:val="zh-CN"/>
        </w:rPr>
        <w:t>、构建我省青少年犯罪预警系统问题研究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44</w:t>
      </w:r>
      <w:r>
        <w:rPr>
          <w:rFonts w:ascii="仿宋_GB2312" w:eastAsia="仿宋_GB2312" w:hAnsi="Times New Roman" w:cs="仿宋_GB2312" w:hint="eastAsia"/>
          <w:sz w:val="30"/>
          <w:szCs w:val="30"/>
          <w:lang w:val="zh-CN"/>
        </w:rPr>
        <w:t>、合适成年人参与未成年刑事诉讼制度实证研究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45</w:t>
      </w:r>
      <w:r>
        <w:rPr>
          <w:rFonts w:ascii="仿宋_GB2312" w:eastAsia="仿宋_GB2312" w:hAnsi="Times New Roman" w:cs="仿宋_GB2312" w:hint="eastAsia"/>
          <w:sz w:val="30"/>
          <w:szCs w:val="30"/>
          <w:lang w:val="zh-CN"/>
        </w:rPr>
        <w:t>、特殊人群服务管理研究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46</w:t>
      </w:r>
      <w:r>
        <w:rPr>
          <w:rFonts w:ascii="仿宋_GB2312" w:eastAsia="仿宋_GB2312" w:hAnsi="Times New Roman" w:cs="仿宋_GB2312" w:hint="eastAsia"/>
          <w:sz w:val="30"/>
          <w:szCs w:val="30"/>
          <w:lang w:val="zh-CN"/>
        </w:rPr>
        <w:t>、老病残罪犯行刑问题研究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47</w:t>
      </w:r>
      <w:r>
        <w:rPr>
          <w:rFonts w:ascii="仿宋_GB2312" w:eastAsia="仿宋_GB2312" w:hAnsi="Times New Roman" w:cs="仿宋_GB2312" w:hint="eastAsia"/>
          <w:sz w:val="30"/>
          <w:szCs w:val="30"/>
          <w:lang w:val="zh-CN"/>
        </w:rPr>
        <w:t>、大数据时代城市流动人口问题治理策略研究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48</w:t>
      </w:r>
      <w:r>
        <w:rPr>
          <w:rFonts w:ascii="仿宋_GB2312" w:eastAsia="仿宋_GB2312" w:hAnsi="Times New Roman" w:cs="仿宋_GB2312" w:hint="eastAsia"/>
          <w:sz w:val="30"/>
          <w:szCs w:val="30"/>
          <w:lang w:val="zh-CN"/>
        </w:rPr>
        <w:t>、发挥新经济组织和新社会组织在社会治理中作用研究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49</w:t>
      </w:r>
      <w:r>
        <w:rPr>
          <w:rFonts w:ascii="仿宋_GB2312" w:eastAsia="仿宋_GB2312" w:hAnsi="Times New Roman" w:cs="仿宋_GB2312" w:hint="eastAsia"/>
          <w:sz w:val="30"/>
          <w:szCs w:val="30"/>
          <w:lang w:val="zh-CN"/>
        </w:rPr>
        <w:t>、戒毒场所规范化运行研究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50</w:t>
      </w:r>
      <w:r>
        <w:rPr>
          <w:rFonts w:ascii="仿宋_GB2312" w:eastAsia="仿宋_GB2312" w:hAnsi="Times New Roman" w:cs="仿宋_GB2312" w:hint="eastAsia"/>
          <w:sz w:val="30"/>
          <w:szCs w:val="30"/>
          <w:lang w:val="zh-CN"/>
        </w:rPr>
        <w:t>、社区戒毒和社区康复工作研究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51</w:t>
      </w:r>
      <w:r>
        <w:rPr>
          <w:rFonts w:ascii="仿宋_GB2312" w:eastAsia="仿宋_GB2312" w:hAnsi="Times New Roman" w:cs="仿宋_GB2312" w:hint="eastAsia"/>
          <w:sz w:val="30"/>
          <w:szCs w:val="30"/>
          <w:lang w:val="zh-CN"/>
        </w:rPr>
        <w:t>、加强对中央驻地方企业单位综治工作管理研究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52</w:t>
      </w:r>
      <w:r>
        <w:rPr>
          <w:rFonts w:ascii="仿宋_GB2312" w:eastAsia="仿宋_GB2312" w:hAnsi="Times New Roman" w:cs="仿宋_GB2312" w:hint="eastAsia"/>
          <w:sz w:val="30"/>
          <w:szCs w:val="30"/>
          <w:lang w:val="zh-CN"/>
        </w:rPr>
        <w:t>、河南省检察机关刑事案件速裁程序试点工作研究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53</w:t>
      </w:r>
      <w:r>
        <w:rPr>
          <w:rFonts w:ascii="仿宋_GB2312" w:eastAsia="仿宋_GB2312" w:hAnsi="Times New Roman" w:cs="仿宋_GB2312" w:hint="eastAsia"/>
          <w:sz w:val="30"/>
          <w:szCs w:val="30"/>
          <w:lang w:val="zh-CN"/>
        </w:rPr>
        <w:t>、仲裁调解工作研究</w:t>
      </w:r>
    </w:p>
    <w:p w:rsidR="008E6CED" w:rsidRDefault="008E6CED" w:rsidP="008E6CED">
      <w:pPr>
        <w:autoSpaceDE w:val="0"/>
        <w:autoSpaceDN w:val="0"/>
        <w:adjustRightInd w:val="0"/>
        <w:ind w:firstLine="61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54</w:t>
      </w:r>
      <w:r>
        <w:rPr>
          <w:rFonts w:ascii="仿宋_GB2312" w:eastAsia="仿宋_GB2312" w:hAnsi="Times New Roman" w:cs="仿宋_GB2312" w:hint="eastAsia"/>
          <w:sz w:val="30"/>
          <w:szCs w:val="30"/>
          <w:lang w:val="zh-CN"/>
        </w:rPr>
        <w:t>、完善以审判为中心的刑事法律援助制度研究</w:t>
      </w:r>
    </w:p>
    <w:p w:rsidR="00E76FE4" w:rsidRDefault="00E76FE4"/>
    <w:sectPr w:rsidR="00E76F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FE4" w:rsidRDefault="00E76FE4" w:rsidP="008E6CED">
      <w:r>
        <w:separator/>
      </w:r>
    </w:p>
  </w:endnote>
  <w:endnote w:type="continuationSeparator" w:id="1">
    <w:p w:rsidR="00E76FE4" w:rsidRDefault="00E76FE4" w:rsidP="008E6C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FE4" w:rsidRDefault="00E76FE4" w:rsidP="008E6CED">
      <w:r>
        <w:separator/>
      </w:r>
    </w:p>
  </w:footnote>
  <w:footnote w:type="continuationSeparator" w:id="1">
    <w:p w:rsidR="00E76FE4" w:rsidRDefault="00E76FE4" w:rsidP="008E6C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CED"/>
    <w:rsid w:val="008E6CED"/>
    <w:rsid w:val="00E76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6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6CED"/>
    <w:rPr>
      <w:sz w:val="18"/>
      <w:szCs w:val="18"/>
    </w:rPr>
  </w:style>
  <w:style w:type="paragraph" w:styleId="a4">
    <w:name w:val="footer"/>
    <w:basedOn w:val="a"/>
    <w:link w:val="Char0"/>
    <w:uiPriority w:val="99"/>
    <w:semiHidden/>
    <w:unhideWhenUsed/>
    <w:rsid w:val="008E6C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6C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995</Characters>
  <Application>Microsoft Office Word</Application>
  <DocSecurity>0</DocSecurity>
  <Lines>8</Lines>
  <Paragraphs>2</Paragraphs>
  <ScaleCrop>false</ScaleCrop>
  <Company>sq</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2</cp:revision>
  <dcterms:created xsi:type="dcterms:W3CDTF">2016-05-16T03:11:00Z</dcterms:created>
  <dcterms:modified xsi:type="dcterms:W3CDTF">2016-05-16T03:11:00Z</dcterms:modified>
</cp:coreProperties>
</file>